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B3" w:rsidRPr="00DF6BB3" w:rsidRDefault="00DF6BB3" w:rsidP="00DF6BB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F6BB3">
        <w:rPr>
          <w:rFonts w:ascii="Times New Roman" w:hAnsi="Times New Roman" w:cs="Times New Roman"/>
          <w:b/>
          <w:sz w:val="40"/>
          <w:szCs w:val="40"/>
        </w:rPr>
        <w:t>Боле</w:t>
      </w:r>
      <w:r>
        <w:rPr>
          <w:rFonts w:ascii="Times New Roman" w:hAnsi="Times New Roman" w:cs="Times New Roman"/>
          <w:b/>
          <w:sz w:val="40"/>
          <w:szCs w:val="40"/>
        </w:rPr>
        <w:t>е 70% воронежцев получают пенси</w:t>
      </w:r>
      <w:r w:rsidRPr="00DF6BB3">
        <w:rPr>
          <w:rFonts w:ascii="Times New Roman" w:hAnsi="Times New Roman" w:cs="Times New Roman"/>
          <w:b/>
          <w:sz w:val="40"/>
          <w:szCs w:val="40"/>
        </w:rPr>
        <w:t>и через кредитные организации.</w:t>
      </w:r>
    </w:p>
    <w:p w:rsidR="00DF6BB3" w:rsidRDefault="00BF1D47" w:rsidP="00DF6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BB3">
        <w:rPr>
          <w:rFonts w:ascii="Times New Roman" w:hAnsi="Times New Roman" w:cs="Times New Roman"/>
          <w:color w:val="000000"/>
          <w:sz w:val="24"/>
          <w:szCs w:val="24"/>
        </w:rPr>
        <w:t xml:space="preserve">Каждый пенсионер может выбрать доставочную организацию самостоятельно. </w:t>
      </w:r>
      <w:r w:rsidR="00DE6DC6" w:rsidRPr="0046304B">
        <w:rPr>
          <w:rFonts w:ascii="Times New Roman" w:hAnsi="Times New Roman" w:cs="Times New Roman"/>
          <w:sz w:val="26"/>
          <w:szCs w:val="26"/>
        </w:rPr>
        <w:t>Право выбора доставочной организации, принадлежит исключительно пенсионеру.</w:t>
      </w:r>
    </w:p>
    <w:p w:rsidR="004422A0" w:rsidRPr="00DF6BB3" w:rsidRDefault="00281E96" w:rsidP="00DF6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Доставка пенсии </w:t>
      </w:r>
      <w:r w:rsidRPr="0046304B">
        <w:rPr>
          <w:rFonts w:ascii="Times New Roman" w:hAnsi="Times New Roman" w:cs="Times New Roman"/>
          <w:sz w:val="26"/>
          <w:szCs w:val="26"/>
        </w:rPr>
        <w:t>производится</w:t>
      </w:r>
      <w:r>
        <w:rPr>
          <w:rFonts w:ascii="Times New Roman" w:hAnsi="Times New Roman" w:cs="Times New Roman"/>
          <w:sz w:val="26"/>
          <w:szCs w:val="26"/>
        </w:rPr>
        <w:t xml:space="preserve"> через организации, </w:t>
      </w:r>
      <w:r w:rsidR="009767CC">
        <w:rPr>
          <w:rFonts w:ascii="Times New Roman" w:hAnsi="Times New Roman" w:cs="Times New Roman"/>
          <w:sz w:val="26"/>
          <w:szCs w:val="26"/>
        </w:rPr>
        <w:t xml:space="preserve">с </w:t>
      </w:r>
      <w:r w:rsidR="009767CC" w:rsidRPr="009767CC">
        <w:rPr>
          <w:rFonts w:ascii="Times New Roman" w:hAnsi="Times New Roman" w:cs="Times New Roman"/>
          <w:sz w:val="26"/>
          <w:szCs w:val="26"/>
        </w:rPr>
        <w:t>которыми заключены договоры</w:t>
      </w:r>
      <w:r w:rsidR="00FB4399">
        <w:rPr>
          <w:rFonts w:ascii="Times New Roman" w:hAnsi="Times New Roman" w:cs="Times New Roman"/>
          <w:sz w:val="26"/>
          <w:szCs w:val="26"/>
        </w:rPr>
        <w:t>. В Воронежской области доставка осуществляется</w:t>
      </w:r>
      <w:r w:rsidR="004422A0">
        <w:rPr>
          <w:rFonts w:ascii="Times New Roman" w:hAnsi="Times New Roman" w:cs="Times New Roman"/>
          <w:sz w:val="26"/>
          <w:szCs w:val="26"/>
        </w:rPr>
        <w:t>:</w:t>
      </w:r>
    </w:p>
    <w:p w:rsidR="004422A0" w:rsidRPr="004422A0" w:rsidRDefault="004422A0" w:rsidP="00DF6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22A0">
        <w:rPr>
          <w:rFonts w:ascii="Times New Roman" w:hAnsi="Times New Roman" w:cs="Times New Roman"/>
          <w:sz w:val="26"/>
          <w:szCs w:val="26"/>
        </w:rPr>
        <w:t>•</w:t>
      </w:r>
      <w:r w:rsidRPr="004422A0">
        <w:rPr>
          <w:rFonts w:ascii="Times New Roman" w:hAnsi="Times New Roman" w:cs="Times New Roman"/>
          <w:sz w:val="26"/>
          <w:szCs w:val="26"/>
        </w:rPr>
        <w:tab/>
        <w:t xml:space="preserve">через </w:t>
      </w:r>
      <w:r>
        <w:rPr>
          <w:rFonts w:ascii="Times New Roman" w:hAnsi="Times New Roman" w:cs="Times New Roman"/>
          <w:sz w:val="26"/>
          <w:szCs w:val="26"/>
        </w:rPr>
        <w:t>Почту</w:t>
      </w:r>
      <w:r w:rsidRPr="004422A0">
        <w:rPr>
          <w:rFonts w:ascii="Times New Roman" w:hAnsi="Times New Roman" w:cs="Times New Roman"/>
          <w:sz w:val="26"/>
          <w:szCs w:val="26"/>
        </w:rPr>
        <w:t xml:space="preserve"> - с доставкой на дом </w:t>
      </w:r>
      <w:r w:rsidR="00760764">
        <w:rPr>
          <w:rFonts w:ascii="Times New Roman" w:hAnsi="Times New Roman" w:cs="Times New Roman"/>
          <w:sz w:val="26"/>
          <w:szCs w:val="26"/>
        </w:rPr>
        <w:t xml:space="preserve">либо </w:t>
      </w:r>
      <w:r w:rsidRPr="004422A0">
        <w:rPr>
          <w:rFonts w:ascii="Times New Roman" w:hAnsi="Times New Roman" w:cs="Times New Roman"/>
          <w:sz w:val="26"/>
          <w:szCs w:val="26"/>
        </w:rPr>
        <w:t xml:space="preserve">в </w:t>
      </w:r>
      <w:r w:rsidR="00760764">
        <w:rPr>
          <w:rFonts w:ascii="Times New Roman" w:hAnsi="Times New Roman" w:cs="Times New Roman"/>
          <w:sz w:val="26"/>
          <w:szCs w:val="26"/>
        </w:rPr>
        <w:t xml:space="preserve">кассе </w:t>
      </w:r>
      <w:r w:rsidRPr="004422A0">
        <w:rPr>
          <w:rFonts w:ascii="Times New Roman" w:hAnsi="Times New Roman" w:cs="Times New Roman"/>
          <w:sz w:val="26"/>
          <w:szCs w:val="26"/>
        </w:rPr>
        <w:t>почтово</w:t>
      </w:r>
      <w:r w:rsidR="00760764">
        <w:rPr>
          <w:rFonts w:ascii="Times New Roman" w:hAnsi="Times New Roman" w:cs="Times New Roman"/>
          <w:sz w:val="26"/>
          <w:szCs w:val="26"/>
        </w:rPr>
        <w:t>го</w:t>
      </w:r>
      <w:r w:rsidRPr="004422A0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760764">
        <w:rPr>
          <w:rFonts w:ascii="Times New Roman" w:hAnsi="Times New Roman" w:cs="Times New Roman"/>
          <w:sz w:val="26"/>
          <w:szCs w:val="26"/>
        </w:rPr>
        <w:t>я</w:t>
      </w:r>
      <w:r w:rsidRPr="004422A0">
        <w:rPr>
          <w:rFonts w:ascii="Times New Roman" w:hAnsi="Times New Roman" w:cs="Times New Roman"/>
          <w:sz w:val="26"/>
          <w:szCs w:val="26"/>
        </w:rPr>
        <w:t xml:space="preserve"> по месту жительства;</w:t>
      </w:r>
    </w:p>
    <w:p w:rsidR="004422A0" w:rsidRDefault="004422A0" w:rsidP="00DF6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22A0">
        <w:rPr>
          <w:rFonts w:ascii="Times New Roman" w:hAnsi="Times New Roman" w:cs="Times New Roman"/>
          <w:sz w:val="26"/>
          <w:szCs w:val="26"/>
        </w:rPr>
        <w:t>•</w:t>
      </w:r>
      <w:r w:rsidRPr="004422A0">
        <w:rPr>
          <w:rFonts w:ascii="Times New Roman" w:hAnsi="Times New Roman" w:cs="Times New Roman"/>
          <w:sz w:val="26"/>
          <w:szCs w:val="26"/>
        </w:rPr>
        <w:tab/>
        <w:t>через кредитные учреждения (банки)</w:t>
      </w:r>
      <w:r>
        <w:rPr>
          <w:rFonts w:ascii="Times New Roman" w:hAnsi="Times New Roman" w:cs="Times New Roman"/>
          <w:sz w:val="26"/>
          <w:szCs w:val="26"/>
        </w:rPr>
        <w:t xml:space="preserve"> на счет по вкладу</w:t>
      </w:r>
      <w:r w:rsidRPr="004422A0">
        <w:rPr>
          <w:rFonts w:ascii="Times New Roman" w:hAnsi="Times New Roman" w:cs="Times New Roman"/>
          <w:sz w:val="26"/>
          <w:szCs w:val="26"/>
        </w:rPr>
        <w:t>, так и на банковскую карту «МИР»</w:t>
      </w:r>
      <w:r w:rsidR="00281E96">
        <w:t xml:space="preserve">. </w:t>
      </w:r>
    </w:p>
    <w:p w:rsidR="0046304B" w:rsidRPr="0046304B" w:rsidRDefault="00281E96" w:rsidP="00DF6BB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 необходимости и</w:t>
      </w:r>
      <w:r w:rsidR="004422A0" w:rsidRPr="004422A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зменить способ доставки можно </w:t>
      </w:r>
      <w:r w:rsidR="0046304B" w:rsidRPr="004630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любое время.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</w:t>
      </w:r>
      <w:r w:rsidR="0046304B" w:rsidRPr="004630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одать новое заявление любым удобным способом: лично в клиентскую службу ПФР или в МФЦ, </w:t>
      </w:r>
      <w:r w:rsidR="00966946" w:rsidRPr="0096694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через «Личный кабинет гражданина» на «Едином портале государственных и муниципальных услуг (функций)" (gosuslugi.ru) или на сайте ПФР (pfr.gov.ru). </w:t>
      </w:r>
    </w:p>
    <w:p w:rsidR="0046304B" w:rsidRPr="0046304B" w:rsidRDefault="0046304B" w:rsidP="00DF6BB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630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Например, на портале </w:t>
      </w:r>
      <w:proofErr w:type="spellStart"/>
      <w:r w:rsidRPr="004630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госуслуг</w:t>
      </w:r>
      <w:proofErr w:type="spellEnd"/>
      <w:r w:rsidRPr="004630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разделе «Пособия Пенсия Льготы» — «Выплата пенсии» необходимо выбрать «Прием заявления о доставке пенсии». В личном кабинете на сайте ПФР в разделе «Пенсии» выбрать «Подать заявление о доставке пенсии». В заявлении указать доставочную организацию, способ доставки пенсии и реквизиты счёта, если доставочная организация — банк.</w:t>
      </w:r>
    </w:p>
    <w:p w:rsidR="0046304B" w:rsidRDefault="0046304B" w:rsidP="00DF6BB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630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 пенсионера получать назначенную ему пенсию может доверенное лицо. Выплата пенсии по нотариальной доверенности, срок которой превышает один год, производится в течение всего срока действия доверенности. Но при этом пенсионеру необходимо ежегодно подтверждать факт регистрации по месту жительства или по месту пребывания в пределах России (за исключением выехавших на постоянное место жительства за границу). Для этого нужно посетить люб</w:t>
      </w:r>
      <w:r w:rsidR="0096694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ую Клиентскую службу</w:t>
      </w:r>
      <w:r w:rsidRPr="004630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либо самостоятельно получить выплату на почте (если доставка пенсии осуществляется через почтовое отделение).</w:t>
      </w:r>
    </w:p>
    <w:p w:rsidR="00966946" w:rsidRPr="0046304B" w:rsidRDefault="00966946" w:rsidP="00DF6BB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46304B" w:rsidRDefault="0046304B" w:rsidP="0046304B">
      <w:pPr>
        <w:jc w:val="center"/>
        <w:rPr>
          <w:b/>
          <w:bCs/>
          <w:sz w:val="28"/>
          <w:szCs w:val="28"/>
        </w:rPr>
      </w:pPr>
      <w:r w:rsidRPr="00702BB6">
        <w:rPr>
          <w:b/>
          <w:bCs/>
          <w:sz w:val="28"/>
          <w:szCs w:val="28"/>
        </w:rPr>
        <w:t>Список организаций, осуществляющих доставку, с которыми заключены договоры: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 xml:space="preserve">УФПС Воронежской области </w:t>
      </w:r>
      <w:r>
        <w:rPr>
          <w:sz w:val="23"/>
          <w:szCs w:val="23"/>
        </w:rPr>
        <w:t>–</w:t>
      </w:r>
      <w:r w:rsidRPr="0011501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АО </w:t>
      </w:r>
      <w:r w:rsidRPr="0011501E">
        <w:rPr>
          <w:sz w:val="23"/>
          <w:szCs w:val="23"/>
        </w:rPr>
        <w:t>«Почта России»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«Сбербанк»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АО    «</w:t>
      </w:r>
      <w:proofErr w:type="spellStart"/>
      <w:r w:rsidRPr="0011501E">
        <w:rPr>
          <w:sz w:val="23"/>
          <w:szCs w:val="23"/>
        </w:rPr>
        <w:t>Россельхозбанк</w:t>
      </w:r>
      <w:proofErr w:type="spellEnd"/>
      <w:r w:rsidRPr="0011501E">
        <w:rPr>
          <w:sz w:val="23"/>
          <w:szCs w:val="23"/>
        </w:rPr>
        <w:t>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«Московский индустриальный Банк»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</w:t>
      </w:r>
      <w:proofErr w:type="spellStart"/>
      <w:r w:rsidRPr="0011501E">
        <w:rPr>
          <w:sz w:val="23"/>
          <w:szCs w:val="23"/>
        </w:rPr>
        <w:t>Акибанк</w:t>
      </w:r>
      <w:proofErr w:type="spellEnd"/>
      <w:r w:rsidRPr="0011501E">
        <w:rPr>
          <w:sz w:val="23"/>
          <w:szCs w:val="23"/>
        </w:rPr>
        <w:t>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</w:t>
      </w:r>
      <w:r>
        <w:rPr>
          <w:sz w:val="23"/>
          <w:szCs w:val="23"/>
        </w:rPr>
        <w:t xml:space="preserve">Банк </w:t>
      </w:r>
      <w:proofErr w:type="spellStart"/>
      <w:r>
        <w:rPr>
          <w:sz w:val="23"/>
          <w:szCs w:val="23"/>
        </w:rPr>
        <w:t>Синара</w:t>
      </w:r>
      <w:proofErr w:type="spellEnd"/>
      <w:r>
        <w:rPr>
          <w:sz w:val="23"/>
          <w:szCs w:val="23"/>
        </w:rPr>
        <w:t>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</w:t>
      </w:r>
      <w:proofErr w:type="spellStart"/>
      <w:r w:rsidRPr="0011501E">
        <w:rPr>
          <w:sz w:val="23"/>
          <w:szCs w:val="23"/>
        </w:rPr>
        <w:t>Совкомбанк</w:t>
      </w:r>
      <w:proofErr w:type="spellEnd"/>
      <w:r w:rsidRPr="0011501E">
        <w:rPr>
          <w:sz w:val="23"/>
          <w:szCs w:val="23"/>
        </w:rPr>
        <w:t>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«Почта Банк»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АКБ «</w:t>
      </w:r>
      <w:proofErr w:type="spellStart"/>
      <w:r w:rsidRPr="0011501E">
        <w:rPr>
          <w:sz w:val="23"/>
          <w:szCs w:val="23"/>
        </w:rPr>
        <w:t>Инвестторгбанк</w:t>
      </w:r>
      <w:proofErr w:type="spellEnd"/>
      <w:r w:rsidRPr="0011501E">
        <w:rPr>
          <w:sz w:val="23"/>
          <w:szCs w:val="23"/>
        </w:rPr>
        <w:t>» ПАО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  Банк «ФК Открытие»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</w:t>
      </w:r>
      <w:proofErr w:type="spellStart"/>
      <w:r w:rsidRPr="0011501E">
        <w:rPr>
          <w:sz w:val="23"/>
          <w:szCs w:val="23"/>
        </w:rPr>
        <w:t>Курскпромбанк</w:t>
      </w:r>
      <w:proofErr w:type="spellEnd"/>
      <w:r w:rsidRPr="0011501E">
        <w:rPr>
          <w:sz w:val="23"/>
          <w:szCs w:val="23"/>
        </w:rPr>
        <w:t>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«Промсвязьбанк»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</w:t>
      </w:r>
      <w:proofErr w:type="spellStart"/>
      <w:r w:rsidRPr="0011501E">
        <w:rPr>
          <w:sz w:val="23"/>
          <w:szCs w:val="23"/>
        </w:rPr>
        <w:t>Транскапиталбанк</w:t>
      </w:r>
      <w:proofErr w:type="spellEnd"/>
      <w:r w:rsidRPr="0011501E">
        <w:rPr>
          <w:sz w:val="23"/>
          <w:szCs w:val="23"/>
        </w:rPr>
        <w:t>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«РОСБАНК»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«БАНК УРАЛСИБ»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«Уральский банк реконструкции и развития»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«СДМ-Банк»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АО «Тинькофф Банк»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«ВТБ»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«Московский кредитный банк»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lastRenderedPageBreak/>
        <w:t>АО «АБ Россия»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АО </w:t>
      </w:r>
      <w:r w:rsidRPr="0011501E">
        <w:rPr>
          <w:sz w:val="23"/>
          <w:szCs w:val="23"/>
        </w:rPr>
        <w:t xml:space="preserve">«Газпромбанк» </w:t>
      </w:r>
    </w:p>
    <w:p w:rsidR="0046304B" w:rsidRPr="007D360F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АО «Альфа-Банк»</w:t>
      </w:r>
    </w:p>
    <w:p w:rsidR="0046304B" w:rsidRPr="007D360F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АО «ОТП Банк»</w:t>
      </w:r>
    </w:p>
    <w:p w:rsidR="0046304B" w:rsidRPr="007D360F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АО «Русский Стандарт Банк»</w:t>
      </w:r>
    </w:p>
    <w:p w:rsidR="0046304B" w:rsidRPr="007D360F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ПАО АКБ «Авангард»</w:t>
      </w:r>
    </w:p>
    <w:p w:rsidR="0059450D" w:rsidRDefault="0059450D"/>
    <w:sectPr w:rsidR="0059450D" w:rsidSect="00DF6BB3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565_"/>
      </v:shape>
    </w:pict>
  </w:numPicBullet>
  <w:abstractNum w:abstractNumId="0">
    <w:nsid w:val="645136C5"/>
    <w:multiLevelType w:val="multilevel"/>
    <w:tmpl w:val="A8F8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12091"/>
    <w:multiLevelType w:val="hybridMultilevel"/>
    <w:tmpl w:val="67F6C354"/>
    <w:lvl w:ilvl="0" w:tplc="23828FD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32"/>
        <w:szCs w:val="32"/>
      </w:rPr>
    </w:lvl>
    <w:lvl w:ilvl="1" w:tplc="64BCFE48" w:tentative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DC86BB14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3" w:tplc="8B66612C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2E501D64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5" w:tplc="C8DC1B9A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6" w:tplc="6A7ECEE8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50649322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8" w:tplc="F7BCA0F8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2D"/>
    <w:rsid w:val="00266A3A"/>
    <w:rsid w:val="00281E96"/>
    <w:rsid w:val="003D462D"/>
    <w:rsid w:val="004422A0"/>
    <w:rsid w:val="0046304B"/>
    <w:rsid w:val="004974D8"/>
    <w:rsid w:val="005776F0"/>
    <w:rsid w:val="0059450D"/>
    <w:rsid w:val="005B2548"/>
    <w:rsid w:val="00760764"/>
    <w:rsid w:val="00966946"/>
    <w:rsid w:val="009767CC"/>
    <w:rsid w:val="00BF1D47"/>
    <w:rsid w:val="00DE6DC6"/>
    <w:rsid w:val="00DF6BB3"/>
    <w:rsid w:val="00E64271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6304B"/>
    <w:pPr>
      <w:tabs>
        <w:tab w:val="num" w:pos="72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Основной текст с отступом 2 Знак"/>
    <w:basedOn w:val="a0"/>
    <w:link w:val="2"/>
    <w:rsid w:val="0046304B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6304B"/>
    <w:pPr>
      <w:tabs>
        <w:tab w:val="num" w:pos="72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Основной текст с отступом 2 Знак"/>
    <w:basedOn w:val="a0"/>
    <w:link w:val="2"/>
    <w:rsid w:val="0046304B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Ветрова О.А. 046-2201</cp:lastModifiedBy>
  <cp:revision>10</cp:revision>
  <dcterms:created xsi:type="dcterms:W3CDTF">2022-07-01T08:43:00Z</dcterms:created>
  <dcterms:modified xsi:type="dcterms:W3CDTF">2022-07-05T08:59:00Z</dcterms:modified>
</cp:coreProperties>
</file>