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75" w:rsidRPr="00EB1475" w:rsidRDefault="00EB1475" w:rsidP="00EB1475">
      <w:pPr>
        <w:rPr>
          <w:rFonts w:ascii="Times New Roman" w:hAnsi="Times New Roman" w:cs="Times New Roman"/>
          <w:sz w:val="28"/>
          <w:szCs w:val="28"/>
        </w:rPr>
      </w:pPr>
      <w:r w:rsidRPr="00EB1475">
        <w:rPr>
          <w:rFonts w:ascii="Times New Roman" w:hAnsi="Times New Roman" w:cs="Times New Roman"/>
          <w:sz w:val="28"/>
          <w:szCs w:val="28"/>
        </w:rPr>
        <w:t>В ВОРОНЕЖСКОЙ ОБЛАСТИ ОФОРМЛЕНЫ ПЕРВЫЕ КВАРТИРЫ ПО ЛЬГОТНОЙ ИПОТЕКЕ</w:t>
      </w:r>
    </w:p>
    <w:p w:rsidR="00EB1475" w:rsidRPr="00EB1475" w:rsidRDefault="00EB1475" w:rsidP="00EB1475">
      <w:pPr>
        <w:rPr>
          <w:rFonts w:ascii="Times New Roman" w:hAnsi="Times New Roman" w:cs="Times New Roman"/>
          <w:sz w:val="28"/>
          <w:szCs w:val="28"/>
        </w:rPr>
      </w:pPr>
      <w:r w:rsidRPr="00EB1475">
        <w:rPr>
          <w:rFonts w:ascii="Times New Roman" w:hAnsi="Times New Roman" w:cs="Times New Roman"/>
          <w:sz w:val="28"/>
          <w:szCs w:val="28"/>
        </w:rPr>
        <w:t>С начала месяца региональное Управление Росреестра зарегистрировало 61 договор долевого участия в строительстве, 7 соглашений об уступке прав по договорам долевого участия в строительстве и 19 прав собственности на основании договоров купли-продажи на объекты недвижимости, приобретенные по льготной ипотеке. Кредиты в рамках программы под 6,5% годовых (и ниже) для покупателей жилья в новостройках Воронежской области начали выдавать еще в апреле.</w:t>
      </w:r>
    </w:p>
    <w:p w:rsidR="00EB1475" w:rsidRPr="00EB1475" w:rsidRDefault="00EB1475" w:rsidP="00EB1475">
      <w:pPr>
        <w:rPr>
          <w:rFonts w:ascii="Times New Roman" w:hAnsi="Times New Roman" w:cs="Times New Roman"/>
          <w:sz w:val="28"/>
          <w:szCs w:val="28"/>
        </w:rPr>
      </w:pPr>
      <w:r w:rsidRPr="00EB1475">
        <w:rPr>
          <w:rFonts w:ascii="Times New Roman" w:hAnsi="Times New Roman" w:cs="Times New Roman"/>
          <w:sz w:val="28"/>
          <w:szCs w:val="28"/>
        </w:rPr>
        <w:t>Большинство банков объявили свои условия и начали принимать заявления на предварительное одобрение, не дожидаясь официального старта программы. Постановление Правительства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 вступило в силу 2 мая.</w:t>
      </w:r>
    </w:p>
    <w:p w:rsidR="00EB1475" w:rsidRPr="00EB1475" w:rsidRDefault="00EB1475" w:rsidP="00EB1475">
      <w:pPr>
        <w:rPr>
          <w:rFonts w:ascii="Times New Roman" w:hAnsi="Times New Roman" w:cs="Times New Roman"/>
          <w:sz w:val="28"/>
          <w:szCs w:val="28"/>
        </w:rPr>
      </w:pPr>
      <w:r w:rsidRPr="00EB1475">
        <w:rPr>
          <w:rFonts w:ascii="Times New Roman" w:hAnsi="Times New Roman" w:cs="Times New Roman"/>
          <w:sz w:val="28"/>
          <w:szCs w:val="28"/>
        </w:rPr>
        <w:t xml:space="preserve">«Данная программа распространяется исключительно на новостройки. То есть заёмщики, претендующие на льготную ипотеку, могут заключить договор долевого участия в строительстве, договор уступки с юридическими лицами, либо договор купли-продажи квартиры с застройщиком (в многоквартирных домах и домах блокированной застройки, созданных (построенных) с привлечением денежных средств участников долевого строительства и введённых в эксплуатацию). На вторичный рынок жилья льготная ипотека не распространяется», </w:t>
      </w:r>
      <w:r w:rsidR="00AF4FF6" w:rsidRPr="00AF4FF6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EB1475">
        <w:rPr>
          <w:rFonts w:ascii="Times New Roman" w:hAnsi="Times New Roman" w:cs="Times New Roman"/>
          <w:sz w:val="28"/>
          <w:szCs w:val="28"/>
        </w:rPr>
        <w:t>отметила начальник отдела долевого участия в строительстве Варсеник Аракелян.</w:t>
      </w:r>
    </w:p>
    <w:p w:rsidR="005930BC" w:rsidRPr="00EB1475" w:rsidRDefault="00EB1475" w:rsidP="00EB1475">
      <w:pPr>
        <w:rPr>
          <w:rFonts w:ascii="Times New Roman" w:hAnsi="Times New Roman" w:cs="Times New Roman"/>
          <w:sz w:val="28"/>
          <w:szCs w:val="28"/>
        </w:rPr>
      </w:pPr>
      <w:r w:rsidRPr="00EB1475">
        <w:rPr>
          <w:rFonts w:ascii="Times New Roman" w:hAnsi="Times New Roman" w:cs="Times New Roman"/>
          <w:sz w:val="28"/>
          <w:szCs w:val="28"/>
        </w:rPr>
        <w:t>В рамках постановления программа распространяется на кредиты (займы), предоставленные с 17 апреля по 1 ноября 2020 года. При этом для Воронежской области сумма кредита не должна превышать 3 млн рублей, а первоначальный взнос должен составлять не менее 20% от стоимости жилья. Процентная ставка не более 6,5% распространяется на весь срок кредита.</w:t>
      </w:r>
    </w:p>
    <w:sectPr w:rsidR="005930BC" w:rsidRPr="00EB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75"/>
    <w:rsid w:val="001C3047"/>
    <w:rsid w:val="005930BC"/>
    <w:rsid w:val="00AF4FF6"/>
    <w:rsid w:val="00E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C1D7"/>
  <w15:chartTrackingRefBased/>
  <w15:docId w15:val="{15647974-54DE-482B-8F1B-B761407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cp:lastPrinted>2020-05-22T13:18:00Z</cp:lastPrinted>
  <dcterms:created xsi:type="dcterms:W3CDTF">2020-05-22T13:15:00Z</dcterms:created>
  <dcterms:modified xsi:type="dcterms:W3CDTF">2020-05-22T13:20:00Z</dcterms:modified>
</cp:coreProperties>
</file>