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К</w:t>
      </w:r>
      <w:r w:rsidR="00A442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оллегия </w:t>
      </w:r>
      <w:r w:rsidR="00A442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P</w:t>
      </w:r>
      <w:proofErr w:type="spellStart"/>
      <w:r w:rsidR="00A44267" w:rsidRPr="002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осреестра</w:t>
      </w:r>
      <w:proofErr w:type="spellEnd"/>
      <w:r w:rsidR="00A44267" w:rsidRPr="002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подвела итоги работы в 2018 году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 итоговое заседание коллегии Федеральной службы государственной регистрации, кадастра и картографии (Росреестра) с участием Заместителя Председателя Пр</w:t>
      </w:r>
      <w:bookmarkStart w:id="0" w:name="_GoBack"/>
      <w:bookmarkEnd w:id="0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Российской Федерации Максима Акимова, Министра экономического развития Российской Федерации Максима Орешкина и заместителя Министра экономического развития Российской Федерации – руководителя Росреестра Виктории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«Росреестр успешно решает задачи, которые ставит перед ним Правительство. Следующее десятилетие пройдет для нас под знаком тотальной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Росреестр уже находится на передовой позиции по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безусловным лидером по количеству электронных услуг, оказанных гражданам. В 2018 году более 65% государственных услуг оказано им в электронной форме», – сказал Максим Акимов.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 Орешкин отметил: «Росреестр – базовый элемент не только для системы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для экономики в целом. Список тех, кто зависит от работы Росреестра, – широкий и имеет большое значение в жизни каждого человека. Область деятельности Росреестра является приоритетной для Минэкономразвития России. В 2018 году нам удалось реализовать ряд мероприятий нормативного характера, достичь реальных результатов по наполнению Единого государственного реестра недвижимости, развитию электронных услуг, внедрению риск-ориентированного подхода к земельному надзору. Основа такого успеха – это кадры Службы. Особенно хочу подчеркнуть роль государственного регистратора, работа которого связана с чрезвычайно высоким уровнем ответственности. За предусмотренные законом семь дней регистратор должен принять однозначное решение по самым сложным пакетам документов».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представила доклад об итогах работы Росреестра за 2018 год и задачах на 2019 год.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2019 года в Едином государственном реестре недвижимости (ЕГРН) учтено 162,5 млн объектов недвижимости. Суммарная кадастровая стоимость объектов недвижимости, учтенных в ЕГРН, в 2018 году составила порядка 672,3 трлн рублей.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деятельности Росреестра в 2018 году обеспечено поступление доходов в бюджет Российской Федерации в размере 38,6 млрд рублей.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во всех субъектах Российской Федерации прием заявителей на получение услуг Росреестра осуществляется исключительно в МФЦ. Общее количество офисов МФЦ, в которых ведется прием заявлений на оказание услуг Росреестра, – 10,8 тыс. В 2018 году в региональные бюджеты поступило 16,6 млрд рублей от государственной пошлины за услуги по регистрации прав, оказанные через МФЦ. «Это существенное подспорье для регионов, чтобы развивать сеть МФЦ», – уточнила Виктория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Замминистра отметила, что в 2018 году средний срок по регистрации прав составил 5 рабочих дней (нормативный срок, установленный законодательством, – 7 рабочих дней). «Напомню, что в 2016 году этот срок </w:t>
      </w: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составлял 10 дней. Это означает, что мы неуклонно идем к сокращению сроков государственной регистрации, несмотря на то, что такие технологии, как искусственный интеллект, в нашу деятельность пока не внедрены», – уточнила она.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оказываются еще быстрее при обращении за ними в электронной форме, в том числе в рамках совместных проектов Росреестра с банками и крупными застройщиками. В 2018 году регистрация прав по таким сделкам совершалась за 2 дня.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более 102 млн услуг в учетно-регистрационной сфере, что на 14,5 млн (16,5%) больше, чем в 2017 году (87,5 млн услуг). Лидерами по объему предоставленных услуг стали управления Росреестра по Московской области, Санкт-Петербургу, Москве, Краснодарскому краю (учетно-регистрационные действия), Калужской области (предоставление сведений ЕГРН).</w:t>
      </w:r>
    </w:p>
    <w:p w:rsidR="00330E90" w:rsidRPr="00201A88" w:rsidRDefault="00330E90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65,4% заявлений об осуществлении учетно-регистрационных действий и запросов о выдаче информации из ЕГРН поступило в электронном виде, что на 28,5% превышает аналогичный показатель 2017 года.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отметила высокую степень удовлетворенности заявителей услугами Росреестра: «В 2018 году Всероссийский центр изучения общественного мнения провел опрос 1600 респондентов в 11 фокусных регионах и исследовал уровень удовлетворенности населения нашими услугами. По оценке ВЦИОМ, услуги Росреестра имеют высокую социальную значимость. Уровень удовлетворенности услугами Росреестра высок среди населения в целом как образ в общественном сознании: 60% респондентов полагают, что Служба работает хорошо. Также высока фактическая удовлетворенность среди пользователей – 74% удовлетворены работой Росреестра». По словам замминистра, также высок уровень доверия в глазах населения – 76% опрошенных считают, что Росреестр действует в интересах всего общества или большей его части.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повышению качества и доступности государственных услуг получила оценку на международном уровне. По итогам ежегодного рейтинга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показателю «регистрация собственности» Россия в 2018 году удерживает 12-е место среди 190 стран.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 переход к осуществлению государственного земельного надзора с использованием риск-ориентированного подхода. Количество проведенных проверок соблюдения земельного законодательства и административных обследований в 2018 году в сравнении с 2017 годом увеличилось на 2 и 19% соответственно и составило более 213 тыс. проверок, более 92 тыс. обследований. Число нарушений, выявленных в 2018 году, увеличилось на 8% (выявлено более 156 тыс. нарушений). Правонарушителями в 2018 году уплачено административных штрафов на сумму около 700 млн рублей, что на 2% больше, чем в предыдущем году.</w:t>
      </w:r>
    </w:p>
    <w:p w:rsidR="00330E90" w:rsidRPr="00201A88" w:rsidRDefault="00042C28" w:rsidP="00201A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A88">
        <w:rPr>
          <w:rFonts w:ascii="Times New Roman" w:hAnsi="Times New Roman"/>
          <w:color w:val="000000"/>
          <w:sz w:val="28"/>
          <w:szCs w:val="28"/>
        </w:rPr>
        <w:t xml:space="preserve">В результате взаимодействия Росреестра и СРО кадастровых инженеров отмечено снижение количества решений о приостановлении осуществления </w:t>
      </w:r>
      <w:r w:rsidRPr="00201A88">
        <w:rPr>
          <w:rFonts w:ascii="Times New Roman" w:hAnsi="Times New Roman"/>
          <w:color w:val="000000"/>
          <w:sz w:val="28"/>
          <w:szCs w:val="28"/>
        </w:rPr>
        <w:lastRenderedPageBreak/>
        <w:t>кадастрового учета из-за ошибок кадастровых инженеров с 70% в 2017 году до 40% в 2018 году.</w:t>
      </w:r>
      <w:r w:rsidR="00330E90" w:rsidRPr="00201A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по просьбе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привлечен к работе по ликвидации задолженности по заработной плате в организациях, находящихся в процедурах банкротства. На совместных совещаниях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Росреестра рассмотрены вопросы невыплаты заработной платы более чем на 2000 предприятиях. В результате этой работы объем погашенной задолженности по заработной плате в 2018 году составил около 3 млрд руб., полностью погашена задолженность 148 организаций в размере более 1 млрд руб.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Росреестр выполнил ряд работ по геодезическому обеспечению территории Российской Федерации. В частности, завершены работы по оптимизации главной высотной основы России (ГВО) в пограничных областях. Созданы 4 постоянно действующих пункта фундаментальной астрономо-геодезической сети (ФАГС): на архипелаге Шпицберген (Норвегия), на территории Камчатского, Хабаровского краев, Республики Саха (Якутия). Созданы 12 фрагментов сети, состоящих из 6 пунктов высокоточной геодезической сети (ВГС) и 201 пункта спутниковой геодезической сети 1 класса (СГС-1), обследованы 160 пунктов государственной геодезической сети и государственной нивелирной сети. Установлены и внесены в ЕГРН охранные зоны в отношении 147 157 пунктов государственной геодезической, нивелирной и гравиметрической сетей.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выполнения картографических работ в 2018 году 33% (5637,1 тыс. кв. км) территории Российской Федерации обеспечено цифровыми топографическими картами 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1:25 000 масштаба, при этом на 100% обеспечены картами данного масштаба территории Российской Федерации, относящиеся к территориям с высокой плотностью населения. Вся территория России, включая острова Северного Ледовитого океана, обеспечена цифровыми топографическими картами масштаба 1:100 000 (17 125,2 тыс. кв. км). Продолжены работы по демаркации и делимитации Государственной границы с 6 государствами, в том числе полностью завершены работы на участках границы с Латвийской Республикой и Литовской Республикой.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конец 2018 года в федеральном фонде пространственных данных содержалось 86 млн единиц хранения пространственных данных и материалов. За отчетный год общее количество выданных данных и материалов фонда составило свыше 867 тыс. единиц хранения. В 2018 году срок выдачи данных и материалов из фонда сократился вдвое.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Росреестр предоставлял сведения, необходимые для проведения кадастровой оценки, загружал в ЕГРН ее результаты, а с 2019 года будет осуществлять надзор за проведением кадастровой оценки. При этом в соответствии с действующим законодательством Росреестр не проводит кадастровую оценку. Эта функция возложена на государственные бюджетные учреждения (ГБУ), которые создаются органами власти субъектов Российской Федерации.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2018 году комиссиями по рассмотрению споров о результатах определения кадастровой стоимости при территориальных органах Росреестра принято к рассмотрению 42 тыс. заявлений в отношении 70 тыс. объектов недвижимости, что в 1,7 раза меньше, чем в прошлом году. В 57% случаев решения принимались в пользу заявителей.</w:t>
      </w:r>
      <w:r w:rsidR="000C05F3"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коллегии определены задачи Росреестра в сфере геодезии и картографии на 2019 год: разработка механизмов государственно-частного партнерства в сфере создания федеральной сети геодезических дифференциальных станций на примере пилотного проекта; создание и публикация веб-сервисов единой электронной картографической основы на территории Краснодарского края, Республики Крым и Хабаровского края; переход к электронному взаимодействию с потребителями материалов фонда пространственных данных: создание интернет-витрины; обследование, создание и восстановление пунктов государственной геодезической сети.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по развитию электронных услуг определено обеспечение бесперебойной работы ФГИС ЕГРН. Задача предусматривает оснащение системы вычислительными мощностями и завершение ее внедрения на всей территории Российской Федерации. Кроме того, Росреестр запланировал реинжиниринг базовых сервисов, связанных с учетом, регистрацией прав и предоставлением сведений, а также реализовывать федеральный проект «Ипотека» в части перевода рынка ипотеки в электронный формат. Росреестр будет проводить работу по созданию в Федеральной кадастровой палате центра компетенции информационных технологий, в том числе в региональных центрах присутствия в Москве, Красноярске, Новосибирске, Башкортостане, Ростове и на Камчатке.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коллегии определены также задачи по участию Росреестра в нормотворческой деятельности Минэкономразвития России.  В настоящее время такая работа ведется по 23 законопроектам.</w:t>
      </w:r>
    </w:p>
    <w:p w:rsidR="00042C28" w:rsidRPr="00201A88" w:rsidRDefault="00042C28" w:rsidP="00201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заседании коллегии приняли участие председатель Комитета Государственной Думы по природным ресурсам, собственности и земельным отношениям Николай Николаев, председатель Комитета Совета Федерации по аграрно-продовольственной политике и природопользованию Алексей Майоров, аудитор Счетной палаты Российской Федерации Максим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Рохмистров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Федерального казначейства Роман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Артюхин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 Яковенко, представители Администрации Президента Российской Федерации, Аппарата Правительства Российской Федерации, Минэкономразвития России, других министерств и ведомств, Общественного совета при </w:t>
      </w:r>
      <w:proofErr w:type="spellStart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2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территориальных органов и подведомственных учреждений Службы – ФГБУ «ФКП Росреестра» и ФГБУ «Центр геодезии, картографии и ИПД».</w:t>
      </w:r>
    </w:p>
    <w:p w:rsidR="005930BC" w:rsidRPr="00201A88" w:rsidRDefault="005930BC" w:rsidP="0020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30BC" w:rsidRPr="0020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28"/>
    <w:rsid w:val="000321F8"/>
    <w:rsid w:val="00042C28"/>
    <w:rsid w:val="000C05F3"/>
    <w:rsid w:val="00201A88"/>
    <w:rsid w:val="00330E90"/>
    <w:rsid w:val="004B3BA6"/>
    <w:rsid w:val="005930BC"/>
    <w:rsid w:val="00A113C8"/>
    <w:rsid w:val="00A44267"/>
    <w:rsid w:val="00C201B6"/>
    <w:rsid w:val="00C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4EFA"/>
  <w15:chartTrackingRefBased/>
  <w15:docId w15:val="{04559905-17DF-4EC3-97FD-6955830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3C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86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773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4</cp:revision>
  <dcterms:created xsi:type="dcterms:W3CDTF">2019-03-25T14:19:00Z</dcterms:created>
  <dcterms:modified xsi:type="dcterms:W3CDTF">2019-03-25T14:24:00Z</dcterms:modified>
</cp:coreProperties>
</file>